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97" w:type="pct"/>
        <w:tblInd w:w="-559" w:type="dxa"/>
        <w:shd w:val="clear" w:color="auto" w:fill="FFFFFF"/>
        <w:tblLayout w:type="fixed"/>
        <w:tblCellMar>
          <w:left w:w="0" w:type="dxa"/>
          <w:right w:w="0" w:type="dxa"/>
        </w:tblCellMar>
        <w:tblLook w:val="04A0" w:firstRow="1" w:lastRow="0" w:firstColumn="1" w:lastColumn="0" w:noHBand="0" w:noVBand="1"/>
      </w:tblPr>
      <w:tblGrid>
        <w:gridCol w:w="993"/>
        <w:gridCol w:w="10207"/>
      </w:tblGrid>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Tên thủ tục</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0" w:line="240" w:lineRule="auto"/>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Thủ tục giải quyết khiếu nại lần đầu tại cấp xã</w:t>
            </w:r>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Lĩnh vực</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0" w:line="240" w:lineRule="auto"/>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Giải quyết khiếu nại</w:t>
            </w:r>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Cơ quan thực hiện</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tbl>
            <w:tblPr>
              <w:tblW w:w="9645" w:type="dxa"/>
              <w:tblLayout w:type="fixed"/>
              <w:tblCellMar>
                <w:left w:w="0" w:type="dxa"/>
                <w:right w:w="0" w:type="dxa"/>
              </w:tblCellMar>
              <w:tblLook w:val="04A0" w:firstRow="1" w:lastRow="0" w:firstColumn="1" w:lastColumn="0" w:noHBand="0" w:noVBand="1"/>
            </w:tblPr>
            <w:tblGrid>
              <w:gridCol w:w="9645"/>
            </w:tblGrid>
            <w:tr w:rsidR="008E30FA" w:rsidRPr="008E30FA" w:rsidTr="00183151">
              <w:tc>
                <w:tcPr>
                  <w:tcW w:w="8220"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i/>
                      <w:iCs/>
                      <w:sz w:val="28"/>
                      <w:szCs w:val="28"/>
                      <w:bdr w:val="none" w:sz="0" w:space="0" w:color="auto" w:frame="1"/>
                    </w:rPr>
                    <w:t>- Cơ quan có thẩm quyền quyết định</w:t>
                  </w:r>
                  <w:r w:rsidRPr="008E30FA">
                    <w:rPr>
                      <w:rFonts w:ascii="Times New Roman" w:eastAsia="Times New Roman" w:hAnsi="Times New Roman" w:cs="Times New Roman"/>
                      <w:sz w:val="28"/>
                      <w:szCs w:val="28"/>
                    </w:rPr>
                    <w:t>: Chủ tịch UBND cấp xã.</w:t>
                  </w:r>
                </w:p>
                <w:p w:rsidR="008E30FA" w:rsidRPr="008E30FA" w:rsidRDefault="008E30FA" w:rsidP="008E30FA">
                  <w:pPr>
                    <w:spacing w:after="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i/>
                      <w:iCs/>
                      <w:sz w:val="28"/>
                      <w:szCs w:val="28"/>
                      <w:bdr w:val="none" w:sz="0" w:space="0" w:color="auto" w:frame="1"/>
                    </w:rPr>
                    <w:t>- Cơ quan trực tiếp thực hiện</w:t>
                  </w:r>
                  <w:r w:rsidRPr="008E30FA">
                    <w:rPr>
                      <w:rFonts w:ascii="Times New Roman" w:eastAsia="Times New Roman" w:hAnsi="Times New Roman" w:cs="Times New Roman"/>
                      <w:sz w:val="28"/>
                      <w:szCs w:val="28"/>
                    </w:rPr>
                    <w:t>: UBND cấp xã.</w:t>
                  </w:r>
                </w:p>
              </w:tc>
            </w:tr>
          </w:tbl>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Cách thức thực hiện</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tbl>
            <w:tblPr>
              <w:tblW w:w="9645" w:type="dxa"/>
              <w:tblLayout w:type="fixed"/>
              <w:tblCellMar>
                <w:left w:w="0" w:type="dxa"/>
                <w:right w:w="0" w:type="dxa"/>
              </w:tblCellMar>
              <w:tblLook w:val="04A0" w:firstRow="1" w:lastRow="0" w:firstColumn="1" w:lastColumn="0" w:noHBand="0" w:noVBand="1"/>
            </w:tblPr>
            <w:tblGrid>
              <w:gridCol w:w="9645"/>
            </w:tblGrid>
            <w:tr w:rsidR="008E30FA" w:rsidRPr="008E30FA" w:rsidTr="00183151">
              <w:tc>
                <w:tcPr>
                  <w:tcW w:w="8220"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Khiếu nại được thực hiện bằng đơn (gửi qua đường bưu điện hoặc gửi trực tiếp đến cơ quan, người có thẩm quyền giải quyết).</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Khiếu nại được trình bày trực tiếp tại cơ quan, tổ chức, người có thẩm quyền.  </w:t>
                  </w:r>
                </w:p>
              </w:tc>
            </w:tr>
          </w:tbl>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Đối tượng thực hiện</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0" w:line="240" w:lineRule="auto"/>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Tổ chức hoặc cá nhân</w:t>
            </w:r>
          </w:p>
        </w:tc>
      </w:tr>
      <w:tr w:rsidR="00183151" w:rsidRPr="008E30FA" w:rsidTr="00183151">
        <w:tc>
          <w:tcPr>
            <w:tcW w:w="993" w:type="dxa"/>
            <w:shd w:val="clear" w:color="auto" w:fill="FAFAFA"/>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p>
        </w:tc>
        <w:tc>
          <w:tcPr>
            <w:tcW w:w="10207" w:type="dxa"/>
            <w:shd w:val="clear" w:color="auto" w:fill="FAFAFA"/>
            <w:vAlign w:val="center"/>
            <w:hideMark/>
          </w:tcPr>
          <w:p w:rsidR="008E30FA" w:rsidRPr="008E30FA" w:rsidRDefault="008E30FA" w:rsidP="008E30FA">
            <w:pPr>
              <w:spacing w:after="0" w:line="240" w:lineRule="auto"/>
              <w:rPr>
                <w:rFonts w:ascii="Times New Roman" w:eastAsia="Times New Roman" w:hAnsi="Times New Roman" w:cs="Times New Roman"/>
                <w:sz w:val="28"/>
                <w:szCs w:val="28"/>
              </w:rPr>
            </w:pPr>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Trình tự thực hiện</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tbl>
            <w:tblPr>
              <w:tblW w:w="9969" w:type="dxa"/>
              <w:tblLayout w:type="fixed"/>
              <w:tblCellMar>
                <w:left w:w="0" w:type="dxa"/>
                <w:right w:w="0" w:type="dxa"/>
              </w:tblCellMar>
              <w:tblLook w:val="04A0" w:firstRow="1" w:lastRow="0" w:firstColumn="1" w:lastColumn="0" w:noHBand="0" w:noVBand="1"/>
            </w:tblPr>
            <w:tblGrid>
              <w:gridCol w:w="9969"/>
            </w:tblGrid>
            <w:tr w:rsidR="008E30FA" w:rsidRPr="008E30FA" w:rsidTr="00183151">
              <w:tc>
                <w:tcPr>
                  <w:tcW w:w="9969"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Bước 1: Thụ lý giải quyết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1. Nghiên cứu và xem xét thụ lý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Trong thời hạn 10 ngày làm việc, kể từ ngày nhận được khiếu nại quyết định hành chính, hành vi hành chính thuộc thẩm quyền giải quyết mà không thuộc một trong các trường hợp được quy định tại Điều 11 của Luật Khiếu nại 2011 thì người có thẩm quyền giải quyết khiếu nại lần đầu phải thụ lý giải quyết.</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Trường hợp nhiều người cùng khiếu nại về một nội dung và cử người đại diện để trình bày nội dung khiếu nại thì thụ lý khi trong đơn khiếu nại có đầy đủ chữ ký của những người khiếu nại và có văn bản cử người đại diện theo quy định tại Điều 7 của Nghị định số 124/2020/NĐ-CP.</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2. Thông báo về việc thụ lý hoặc không thụ lý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xml:space="preserve">Đối với khiếu nại quyết định hành chính, hành vi hành chính, người có thẩm quyền </w:t>
                  </w:r>
                  <w:r w:rsidRPr="008E30FA">
                    <w:rPr>
                      <w:rFonts w:ascii="Times New Roman" w:eastAsia="Times New Roman" w:hAnsi="Times New Roman" w:cs="Times New Roman"/>
                      <w:sz w:val="28"/>
                      <w:szCs w:val="28"/>
                    </w:rPr>
                    <w:lastRenderedPageBreak/>
                    <w:t>giải quyết khiếu nại thông báo việc thụ lý hoặc không thụ lý bằng văn bản đến người khiếu nại, cơ quan, tổ chức, đơn vị, cá nhân có liên quan và cơ quan thanh tra nhà nước cùng cấp biết.</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Trường hợp nhiều người khiếu nại về cùng một nội dung và cử người đại diện để thực hiện việc khiếu nại thì văn bản thông báo việc thụ lý hoặc không thụ lý được gửi đến một trong số những người       đại diện.</w:t>
                  </w:r>
                </w:p>
                <w:p w:rsidR="008E30FA" w:rsidRPr="008E30FA" w:rsidRDefault="008E30FA" w:rsidP="008E30FA">
                  <w:pPr>
                    <w:spacing w:after="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Bước 2: Xác minh nội dung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1. Kiểm tra lại quyết định hành chính, hành vi hành chính bị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a) Sau khi thụ lý khiếu nại, người có thẩm quyền giải quyết khiếu nại lần đầu kiểm tra lại quyết định hành chính, hành vi hành chính bị khiếu nại. Nội dung kiểm tra lại bao gồm: Căn cứ pháp lý ban hành quyết định hành chính, thực hiện hành vi hành chính; thẩm quyền ban hành quyết định hành chính, thực hiện hành vi hành chính; nội dung của quyết định hành chính, việc thực hiện hành vi hành chính; trình tự, thủ tục ban hành, thể thức và kỹ thuật trình bày quyết định hành chính; các nội dung khác (nếu có).</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b) Sau khi kiểm tra lại, nếu thấy khiếu nại là đúng thì người có thẩm quyền giải quyết khiếu nại lần đầu ra quyết định giải quyết khiếu nại ngay. Nếu thấy chưa có cơ sở kết luận nội dung khiếu nại thì người có thẩm quyền giải quyết khiếu nại tiến hành xác minh.</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2. Giao nhiệm vụ xác minh nội dung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Người giải quyết khiếu nại tự mình xác minh hoặc giao cá nhân thuộc quyền quản lý của mình tiến hành xác minh nội dung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Người giải quyết khiếu nại ban hành Quyết định xác minh nội dung khiếu nại, trong đó xác định rõ người thực hiện xác minh, quyền và nghĩa vụ của người thực hiện xác minh, thời gian, nội dung          xác minh.</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3. Tiến hành xác minh nội dung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a) Làm việc trực tiếp với người khiếu nại, người đại diện, người được ủy quyền, luật sư, trợ giúp viên pháp lý của người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Người giải quyết khiếu nại hoặc người được giao nhiệm vụ xác minh nội dung khiếu nại làm việc trực tiếp và yêu cầu người khiếu nại hoặc người đại diện, người được ủy quyền, luật sư, trợ giúp viên pháp lý của người khiếu nại cung cấp thông tin, tài liệu, bằng chứng có liên quan đến nhân thân, nội dung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xml:space="preserve">Nội dung làm việc được lập thành biên bản, ghi rõ thời gian, địa điểm, thành phần, </w:t>
                  </w:r>
                  <w:r w:rsidRPr="008E30FA">
                    <w:rPr>
                      <w:rFonts w:ascii="Times New Roman" w:eastAsia="Times New Roman" w:hAnsi="Times New Roman" w:cs="Times New Roman"/>
                      <w:sz w:val="28"/>
                      <w:szCs w:val="28"/>
                    </w:rPr>
                    <w:lastRenderedPageBreak/>
                    <w:t>nội dung và có chữ ký của các bên. Trường hợp người khiếu nại không hợp tác, không làm việc, không ký vào biên bản làm việc thì biên bản được lấy chữ ký của người làm chứng hoặc đại diện chính quyền địa phương. Biên bản được lập thành ít nhất hai bản, mỗi bên giữ một bản.</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b) Làm việc trực tiếp với người có quyền, lợi ích liên quan</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Trong quá trình giải quyết khiếu nại lần đầu, người giải quyết khiếu nại hoặc người được giao nhiệm vụ xác minh làm việc trực tiếp với người có quyền, lợi ích liên quan và yêu cầu cung cấp thông tin, tài liệu, bằng chứng liên quan đến nội dung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Nội dung làm việc được lập thành biên bản, ghi rõ thời gian, địa điểm, thành phần, nội dung và có chữ ký của các bên. Biên bản được lập thành ít nhất hai bản, mỗi bên giữ một bản.</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c) Yêu cầu cơ quan, tổ chức, đơn vị, cá nhân có liên quan cung cấp thông tin, tài liệu, bằng chứng</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Trong quá trình xác minh nội dung khiếu nại, người giải quyết khiếu nại hoặc người được giao nhiệm vụ xác minh gửi văn bản yêu cầu cơ quan, tổ chức, đơn vị, cá nhân có liên quan cung cấp thông tin, tài liệu, bằng chứng liên quan đến nội dung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Trường hợp làm việc trực tiếp với cơ quan, tổ chức, đơn vị, cá nhân có liên quan để yêu cầu cung cấp thông tin, tài liệu, bằng chứng thì lập biên bản làm việc. Biên bản được lập thành ít nhất hai bản, mỗi bên giữ một bản.</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d) Tiếp nhận, xử lý thông tin, tài liệu, bằng chứng</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Người giải quyết khiếu nại hoặc người được giao nhiệm vụ xác minh khi tiếp nhận thông tin, tài liệu, bằng chứng do người khiếu nại hoặc người đại diện, người được ủy quyền, luật sư, trợ giúp viên pháp lý của người khiếu nại, người bị khiếu nại, cơ quan, tổ chức, đơn vị, cá nhân cung cấp trực tiếp phải lập biên bản giao nhận.</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đ) Xác minh thực tế</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Khi cần thiết, người giải quyết khiếu nại hoặc người được giao nhiệm vụ xác minh tiến hành xác minh thực tế để thu thập, kiểm tra, xác định tính chính xác, hợp pháp, đầy đủ của các thông tin, tài liệu, bằng chứng liên quan đến nội dung vụ việc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xml:space="preserve">Việc xác minh thực tế phải lập thành biên bản, ghi rõ thời gian, địa điểm, thành phần làm việc, nội dung, kết quả xác minh, ý kiến của những người tham gia xác minh và </w:t>
                  </w:r>
                  <w:r w:rsidRPr="008E30FA">
                    <w:rPr>
                      <w:rFonts w:ascii="Times New Roman" w:eastAsia="Times New Roman" w:hAnsi="Times New Roman" w:cs="Times New Roman"/>
                      <w:sz w:val="28"/>
                      <w:szCs w:val="28"/>
                    </w:rPr>
                    <w:lastRenderedPageBreak/>
                    <w:t>những người khác có liên quan.</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e) Trưng cầu giám định</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Người giải quyết khiếu nại quyết định việc trưng cầu giám định khi xét thấy cần có sự đánh giá về nội dung liên quan đến chuyên môn, kỹ thuật làm căn cứ cho việc kết luận nội dung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Người khiếu nại, người bị khiếu nại và cơ quan, tổ chức có liên quan có thể đề nghị người giải quyết khiếu nại trưng cầu giám định. Khi xét thấy đề nghị của người khiếu nại, người bị khiếu nại và cơ quan, tổ chức có liên quan có cơ sở thì người giải quyết khiếu nại quyết định trưng cầu giám định.</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Việc trưng cầu giám định thực hiện bàng văn bản trong đó nêu rõ tên cơ quan, tổ chức giám định, thông tin, tài liệu cần giám định, nội dung yêu cầu giám định, thời hạn có kết luận giám định.</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g) Làm việc với các bên có liên quan trong quá trình xác minh nội dung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Trường hợp kết quả xác minh khác với thông tin, tài liệu, bằng chứng do người khiếu nại, người bị khiếu nại cung cấp thì người giải quyết khiếu nại hoặc người được giao nhiệm vụ xác minh phải tổ chức làm việc với người khiếu nại, người bị khiếu nại; trường hợp cần thiết thì mời cơ quan, tổ chức, đơn vị, cá nhân có liên quan tham gia        làm việc.</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Nội dung làm việc phải được lập thành biên bản, ghi rõ thời gian, địa điểm, thành phần tham gia, nội dung, ý kiến của những người tham gia, những nội dung đã được thống nhất, những vấn đề còn ý kiến khác nhau và có chữ ký của các bên. Biên bản được lập thành ít nhất ba bản, mỗi bên giữ một bản.</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h) Tạm đình chỉ việc thi hành quyết định hành chính bị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 Thời hạn tạm đình chỉ không vượt quá thời gian còn lại của thời hạn giải quyết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Khi xét thấy lý do của việc tạm đình chỉ không còn thì người giải quyết khiếu nại phải ra quyết định hủy bỏ ngay quyết định tạm đình chỉ.</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4. Báo cáo kết quả xác minh nội dung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Người được giao nhiệm vụ xác minh phải báo cáo trung thực, khách quan kết quả xác minh nội dung khiếu nại bằng văn bản với người giải quyết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lastRenderedPageBreak/>
                    <w:t>Báo cáo kết quả xác minh nội dung khiếu nại phải bao gồm các nội dung: Đối tượng xác minh; thời gian tiến hành xác minh; người tiến hành xác minh; nội dung xác minh; kết quả xác minh; kết luận và kiến nghị nội dung giải quyết khiếu nại. Trong báo cáo phải thể hiện rõ thông tin về người khiếu nại, người bị khiếu nại, quyết định hành chính, hành vi hành chính bị khiếu nại, yêu cầu của người khiếu nại, căn cứ để khiếu nại; kết quả xác minh đối với từng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hành vi hành chính bị khiếu nại; kiến nghị về việc ban hành quyết định giải quyết khiếu nại.</w:t>
                  </w:r>
                </w:p>
                <w:p w:rsidR="008E30FA" w:rsidRPr="008E30FA" w:rsidRDefault="008E30FA" w:rsidP="008E30FA">
                  <w:pPr>
                    <w:spacing w:after="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Bước 3: Tổ chức đối thoại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3.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4.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5. Kết quả đối thoại là một trong các căn cứ để giải quyết     khiếu nại.</w:t>
                  </w:r>
                </w:p>
                <w:p w:rsidR="008E30FA" w:rsidRPr="008E30FA" w:rsidRDefault="008E30FA" w:rsidP="008E30FA">
                  <w:pPr>
                    <w:spacing w:after="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Bước 4: Ra quyết định giải quyết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xml:space="preserve">1. Căn cứ quy định của pháp luật, kết quả xác minh nội dung khiếu nại, kết quả đối thoại (nếu có), </w:t>
                  </w:r>
                  <w:proofErr w:type="gramStart"/>
                  <w:r w:rsidRPr="008E30FA">
                    <w:rPr>
                      <w:rFonts w:ascii="Times New Roman" w:eastAsia="Times New Roman" w:hAnsi="Times New Roman" w:cs="Times New Roman"/>
                      <w:sz w:val="28"/>
                      <w:szCs w:val="28"/>
                    </w:rPr>
                    <w:t>Chủ</w:t>
                  </w:r>
                  <w:proofErr w:type="gramEnd"/>
                  <w:r w:rsidRPr="008E30FA">
                    <w:rPr>
                      <w:rFonts w:ascii="Times New Roman" w:eastAsia="Times New Roman" w:hAnsi="Times New Roman" w:cs="Times New Roman"/>
                      <w:sz w:val="28"/>
                      <w:szCs w:val="28"/>
                    </w:rPr>
                    <w:t xml:space="preserve"> tịch UBND cấp xã ra quyết định giải quyết khiếu nại lần đầu.</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xml:space="preserve">2. Quyết định giải quyết khiếu nại lần đầu phải có các nội dung: Ngày, tháng, năm ra quyết định; tên, địa chỉ người khiếu nại, người bị khiếu nại; nội dung khiếu nại; kết quả xác minh nội dung khiếu nại; kết quả đối thoại (nếu có); căn cứ pháp luật để giải </w:t>
                  </w:r>
                  <w:r w:rsidRPr="008E30FA">
                    <w:rPr>
                      <w:rFonts w:ascii="Times New Roman" w:eastAsia="Times New Roman" w:hAnsi="Times New Roman" w:cs="Times New Roman"/>
                      <w:sz w:val="28"/>
                      <w:szCs w:val="28"/>
                    </w:rPr>
                    <w:lastRenderedPageBreak/>
                    <w:t>quyết khiếu nại; kết luận nội dung khiếu nại; giữ nguyên, sửa đổi, bổ sung hoặc hủy bỏ một phần hay toàn bộ quyết định hành chính, chấm dứt hành vi hành chính bị khiếu nại; giải quyết các vấn đề cụ thể trong nội dung khiếu nại; việc bồi thường thiệt hại cho người bị khiếu nại (nếu có); quyền khiếu nại lần hai, quyền khởi kiện vụ án hành chính tại Tòa án.</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4. Trong thời hạn 03 ngày làm việc, kể từ ngày có quyết định giải quyết khiếu nại lần đầu, người giải quyết khiếu nại phải gửi quyết định giải quyết khiếu nại cho người khiếu nại; người giải quyết khiếu nại lần hai; người có quyền, nghĩa vụ liên quan; cơ quan, tổ chức, cá nhân có liên quan; cơ quan quản lý cấp trên.</w:t>
                  </w:r>
                </w:p>
              </w:tc>
            </w:tr>
          </w:tbl>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lastRenderedPageBreak/>
              <w:t>Thời hạn giải quyết</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tbl>
            <w:tblPr>
              <w:tblW w:w="9645" w:type="dxa"/>
              <w:tblLayout w:type="fixed"/>
              <w:tblCellMar>
                <w:left w:w="0" w:type="dxa"/>
                <w:right w:w="0" w:type="dxa"/>
              </w:tblCellMar>
              <w:tblLook w:val="04A0" w:firstRow="1" w:lastRow="0" w:firstColumn="1" w:lastColumn="0" w:noHBand="0" w:noVBand="1"/>
            </w:tblPr>
            <w:tblGrid>
              <w:gridCol w:w="9645"/>
            </w:tblGrid>
            <w:tr w:rsidR="008E30FA" w:rsidRPr="008E30FA" w:rsidTr="00183151">
              <w:tc>
                <w:tcPr>
                  <w:tcW w:w="8220"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i/>
                      <w:iCs/>
                      <w:sz w:val="28"/>
                      <w:szCs w:val="28"/>
                      <w:bdr w:val="none" w:sz="0" w:space="0" w:color="auto" w:frame="1"/>
                    </w:rPr>
                    <w:t>Theo Điều 28 Luật Khiếu nại 2011:</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Thời hạn giải quyết khiếu nại lần đầu không quá 30 ngày, kể từ ngày thụ lý; đối với vụ việc phức tạp thì thời hạn giải quyết có thể kéo dài hơn nhưng không quá 45 ngày, kể từ ngày thụ lý.</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tc>
            </w:tr>
          </w:tbl>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w:t>
            </w:r>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Phí</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Không</w:t>
            </w:r>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Lệ Phí</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Không</w:t>
            </w:r>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Thành phần hồ sơ</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tbl>
            <w:tblPr>
              <w:tblW w:w="9645" w:type="dxa"/>
              <w:tblLayout w:type="fixed"/>
              <w:tblCellMar>
                <w:left w:w="0" w:type="dxa"/>
                <w:right w:w="0" w:type="dxa"/>
              </w:tblCellMar>
              <w:tblLook w:val="04A0" w:firstRow="1" w:lastRow="0" w:firstColumn="1" w:lastColumn="0" w:noHBand="0" w:noVBand="1"/>
            </w:tblPr>
            <w:tblGrid>
              <w:gridCol w:w="9645"/>
            </w:tblGrid>
            <w:tr w:rsidR="008E30FA" w:rsidRPr="008E30FA" w:rsidTr="00183151">
              <w:tc>
                <w:tcPr>
                  <w:tcW w:w="8220"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i/>
                      <w:iCs/>
                      <w:sz w:val="28"/>
                      <w:szCs w:val="28"/>
                      <w:bdr w:val="none" w:sz="0" w:space="0" w:color="auto" w:frame="1"/>
                    </w:rPr>
                    <w:t>- Thành phần hồ sơ gồm:  </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Đơn khiếu nại hoặc bản ghi lời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Các tài liệu khác có liên quan.</w:t>
                  </w:r>
                </w:p>
                <w:p w:rsidR="008E30FA" w:rsidRPr="008E30FA" w:rsidRDefault="008E30FA" w:rsidP="008E30FA">
                  <w:pPr>
                    <w:spacing w:after="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w:t>
                  </w:r>
                  <w:r w:rsidRPr="008E30FA">
                    <w:rPr>
                      <w:rFonts w:ascii="Times New Roman" w:eastAsia="Times New Roman" w:hAnsi="Times New Roman" w:cs="Times New Roman"/>
                      <w:i/>
                      <w:iCs/>
                      <w:sz w:val="28"/>
                      <w:szCs w:val="28"/>
                      <w:bdr w:val="none" w:sz="0" w:space="0" w:color="auto" w:frame="1"/>
                    </w:rPr>
                    <w:t>Số lượng hồ sơ</w:t>
                  </w:r>
                  <w:r w:rsidRPr="008E30FA">
                    <w:rPr>
                      <w:rFonts w:ascii="Times New Roman" w:eastAsia="Times New Roman" w:hAnsi="Times New Roman" w:cs="Times New Roman"/>
                      <w:sz w:val="28"/>
                      <w:szCs w:val="28"/>
                    </w:rPr>
                    <w:t>:  01 bộ</w:t>
                  </w:r>
                </w:p>
              </w:tc>
            </w:tr>
          </w:tbl>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lastRenderedPageBreak/>
              <w:t> </w:t>
            </w:r>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lastRenderedPageBreak/>
              <w:t>Số lượng bộ hồ sơ</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0" w:line="240" w:lineRule="auto"/>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01 bộ</w:t>
            </w:r>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Yêu cầu - điều kiện</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tbl>
            <w:tblPr>
              <w:tblW w:w="9645" w:type="dxa"/>
              <w:tblLayout w:type="fixed"/>
              <w:tblCellMar>
                <w:left w:w="0" w:type="dxa"/>
                <w:right w:w="0" w:type="dxa"/>
              </w:tblCellMar>
              <w:tblLook w:val="04A0" w:firstRow="1" w:lastRow="0" w:firstColumn="1" w:lastColumn="0" w:noHBand="0" w:noVBand="1"/>
            </w:tblPr>
            <w:tblGrid>
              <w:gridCol w:w="9645"/>
            </w:tblGrid>
            <w:tr w:rsidR="008E30FA" w:rsidRPr="008E30FA" w:rsidTr="00183151">
              <w:tc>
                <w:tcPr>
                  <w:tcW w:w="8220"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i/>
                      <w:iCs/>
                      <w:sz w:val="28"/>
                      <w:szCs w:val="28"/>
                      <w:bdr w:val="none" w:sz="0" w:space="0" w:color="auto" w:frame="1"/>
                    </w:rPr>
                    <w:t>Theo Điều 11 Luật Khiếu nại 2011:</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Khiếu nại thuộc một trong các trường hợp sau đây không được thụ lý giải quyết:</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2. Quyết định hành chính, hành vi hành chính bị khiếu nại không liên quan trực tiếp đến quyền, lợi ích hợp pháp của người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3. Người khiếu nại không có năng lực hành vi dân sự đầy đủ mà không có người đại diện hợp pháp;</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4. Người đại diện không hợp pháp thực hiện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5. Đơn khiếu nại không có chữ ký hoặc điểm chỉ của người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6. Thời hiệu, thời hạn khiếu nại đã hết mà không có lý do    chính đáng;</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7. Khiếu nại đã có quyết định giải quyết khiếu nại lần hai;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8. Có văn bản thông báo đình chỉ việc giải quyết khiếu nại mà sau 30 ngày người khiếu nại không tiếp tục khiếu nại;</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xml:space="preserve">9. Việc khiếu nại đã được Tòa </w:t>
                  </w:r>
                  <w:proofErr w:type="gramStart"/>
                  <w:r w:rsidRPr="008E30FA">
                    <w:rPr>
                      <w:rFonts w:ascii="Times New Roman" w:eastAsia="Times New Roman" w:hAnsi="Times New Roman" w:cs="Times New Roman"/>
                      <w:sz w:val="28"/>
                      <w:szCs w:val="28"/>
                    </w:rPr>
                    <w:t>án</w:t>
                  </w:r>
                  <w:proofErr w:type="gramEnd"/>
                  <w:r w:rsidRPr="008E30FA">
                    <w:rPr>
                      <w:rFonts w:ascii="Times New Roman" w:eastAsia="Times New Roman" w:hAnsi="Times New Roman" w:cs="Times New Roman"/>
                      <w:sz w:val="28"/>
                      <w:szCs w:val="28"/>
                    </w:rPr>
                    <w:t xml:space="preserve"> thụ lý hoặc đã được giải quyết bằng bản án, quyết định của Toà án, trừ quyết định đình chỉ giải quyết vụ án hành chính của Tòa án.</w:t>
                  </w:r>
                </w:p>
              </w:tc>
            </w:tr>
          </w:tbl>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lastRenderedPageBreak/>
              <w:t>Căn cứ pháp lý</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tbl>
            <w:tblPr>
              <w:tblW w:w="9645" w:type="dxa"/>
              <w:tblLayout w:type="fixed"/>
              <w:tblCellMar>
                <w:left w:w="0" w:type="dxa"/>
                <w:right w:w="0" w:type="dxa"/>
              </w:tblCellMar>
              <w:tblLook w:val="04A0" w:firstRow="1" w:lastRow="0" w:firstColumn="1" w:lastColumn="0" w:noHBand="0" w:noVBand="1"/>
            </w:tblPr>
            <w:tblGrid>
              <w:gridCol w:w="9645"/>
            </w:tblGrid>
            <w:tr w:rsidR="008E30FA" w:rsidRPr="008E30FA" w:rsidTr="00183151">
              <w:tc>
                <w:tcPr>
                  <w:tcW w:w="8220"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Luật Khiếu nại 2011;</w:t>
                  </w:r>
                </w:p>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 Nghị định số 124/2020/NĐ-CP ngày 19/10/2020 của Chính phủ quy định chi tiết một số điều và biện pháp thi hành Luật Khiếu nại 2011.</w:t>
                  </w:r>
                </w:p>
              </w:tc>
            </w:tr>
          </w:tbl>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Biểu mẫu đính kèm</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0" w:line="240" w:lineRule="auto"/>
              <w:rPr>
                <w:rFonts w:ascii="Times New Roman" w:eastAsia="Times New Roman" w:hAnsi="Times New Roman" w:cs="Times New Roman"/>
                <w:sz w:val="28"/>
                <w:szCs w:val="28"/>
              </w:rPr>
            </w:pPr>
            <w:bookmarkStart w:id="0" w:name="_GoBack"/>
            <w:bookmarkEnd w:id="0"/>
          </w:p>
        </w:tc>
      </w:tr>
      <w:tr w:rsidR="00183151" w:rsidRPr="008E30FA" w:rsidTr="00183151">
        <w:tc>
          <w:tcPr>
            <w:tcW w:w="993"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E30FA" w:rsidRPr="008E30FA" w:rsidRDefault="008E30FA" w:rsidP="008E30FA">
            <w:pPr>
              <w:spacing w:after="0" w:line="240" w:lineRule="auto"/>
              <w:jc w:val="center"/>
              <w:rPr>
                <w:rFonts w:ascii="Times New Roman" w:eastAsia="Times New Roman" w:hAnsi="Times New Roman" w:cs="Times New Roman"/>
                <w:sz w:val="28"/>
                <w:szCs w:val="28"/>
              </w:rPr>
            </w:pPr>
            <w:r w:rsidRPr="008E30FA">
              <w:rPr>
                <w:rFonts w:ascii="Times New Roman" w:eastAsia="Times New Roman" w:hAnsi="Times New Roman" w:cs="Times New Roman"/>
                <w:b/>
                <w:bCs/>
                <w:sz w:val="28"/>
                <w:szCs w:val="28"/>
                <w:bdr w:val="none" w:sz="0" w:space="0" w:color="auto" w:frame="1"/>
              </w:rPr>
              <w:t>Kết quả thực hiện</w:t>
            </w:r>
          </w:p>
        </w:tc>
        <w:tc>
          <w:tcPr>
            <w:tcW w:w="10207"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E30FA" w:rsidRPr="008E30FA" w:rsidRDefault="008E30FA" w:rsidP="008E30FA">
            <w:pPr>
              <w:spacing w:after="150" w:line="240" w:lineRule="auto"/>
              <w:textAlignment w:val="baseline"/>
              <w:rPr>
                <w:rFonts w:ascii="Times New Roman" w:eastAsia="Times New Roman" w:hAnsi="Times New Roman" w:cs="Times New Roman"/>
                <w:sz w:val="28"/>
                <w:szCs w:val="28"/>
              </w:rPr>
            </w:pPr>
            <w:r w:rsidRPr="008E30FA">
              <w:rPr>
                <w:rFonts w:ascii="Times New Roman" w:eastAsia="Times New Roman" w:hAnsi="Times New Roman" w:cs="Times New Roman"/>
                <w:sz w:val="28"/>
                <w:szCs w:val="28"/>
              </w:rPr>
              <w:t>Quyết định giải quyết khiếu nại lần đầu</w:t>
            </w:r>
          </w:p>
        </w:tc>
      </w:tr>
    </w:tbl>
    <w:p w:rsidR="009C4435" w:rsidRPr="008E30FA" w:rsidRDefault="009C4435">
      <w:pPr>
        <w:rPr>
          <w:rFonts w:ascii="Times New Roman" w:hAnsi="Times New Roman" w:cs="Times New Roman"/>
          <w:sz w:val="28"/>
          <w:szCs w:val="28"/>
        </w:rPr>
      </w:pPr>
    </w:p>
    <w:sectPr w:rsidR="009C4435" w:rsidRPr="008E30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DC" w:rsidRDefault="00E226DC" w:rsidP="00183151">
      <w:pPr>
        <w:spacing w:after="0" w:line="240" w:lineRule="auto"/>
      </w:pPr>
      <w:r>
        <w:separator/>
      </w:r>
    </w:p>
  </w:endnote>
  <w:endnote w:type="continuationSeparator" w:id="0">
    <w:p w:rsidR="00E226DC" w:rsidRDefault="00E226DC" w:rsidP="0018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76847"/>
      <w:docPartObj>
        <w:docPartGallery w:val="Page Numbers (Bottom of Page)"/>
        <w:docPartUnique/>
      </w:docPartObj>
    </w:sdtPr>
    <w:sdtEndPr>
      <w:rPr>
        <w:noProof/>
      </w:rPr>
    </w:sdtEndPr>
    <w:sdtContent>
      <w:p w:rsidR="00183151" w:rsidRDefault="00183151">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183151" w:rsidRDefault="00183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DC" w:rsidRDefault="00E226DC" w:rsidP="00183151">
      <w:pPr>
        <w:spacing w:after="0" w:line="240" w:lineRule="auto"/>
      </w:pPr>
      <w:r>
        <w:separator/>
      </w:r>
    </w:p>
  </w:footnote>
  <w:footnote w:type="continuationSeparator" w:id="0">
    <w:p w:rsidR="00E226DC" w:rsidRDefault="00E226DC" w:rsidP="001831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FA"/>
    <w:rsid w:val="00183151"/>
    <w:rsid w:val="008E30FA"/>
    <w:rsid w:val="009C4435"/>
    <w:rsid w:val="00E2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30FA"/>
    <w:rPr>
      <w:b/>
      <w:bCs/>
    </w:rPr>
  </w:style>
  <w:style w:type="paragraph" w:styleId="NormalWeb">
    <w:name w:val="Normal (Web)"/>
    <w:basedOn w:val="Normal"/>
    <w:uiPriority w:val="99"/>
    <w:unhideWhenUsed/>
    <w:rsid w:val="008E30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30FA"/>
    <w:rPr>
      <w:i/>
      <w:iCs/>
    </w:rPr>
  </w:style>
  <w:style w:type="paragraph" w:styleId="Header">
    <w:name w:val="header"/>
    <w:basedOn w:val="Normal"/>
    <w:link w:val="HeaderChar"/>
    <w:uiPriority w:val="99"/>
    <w:unhideWhenUsed/>
    <w:rsid w:val="00183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151"/>
  </w:style>
  <w:style w:type="paragraph" w:styleId="Footer">
    <w:name w:val="footer"/>
    <w:basedOn w:val="Normal"/>
    <w:link w:val="FooterChar"/>
    <w:uiPriority w:val="99"/>
    <w:unhideWhenUsed/>
    <w:rsid w:val="00183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1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30FA"/>
    <w:rPr>
      <w:b/>
      <w:bCs/>
    </w:rPr>
  </w:style>
  <w:style w:type="paragraph" w:styleId="NormalWeb">
    <w:name w:val="Normal (Web)"/>
    <w:basedOn w:val="Normal"/>
    <w:uiPriority w:val="99"/>
    <w:unhideWhenUsed/>
    <w:rsid w:val="008E30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30FA"/>
    <w:rPr>
      <w:i/>
      <w:iCs/>
    </w:rPr>
  </w:style>
  <w:style w:type="paragraph" w:styleId="Header">
    <w:name w:val="header"/>
    <w:basedOn w:val="Normal"/>
    <w:link w:val="HeaderChar"/>
    <w:uiPriority w:val="99"/>
    <w:unhideWhenUsed/>
    <w:rsid w:val="00183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151"/>
  </w:style>
  <w:style w:type="paragraph" w:styleId="Footer">
    <w:name w:val="footer"/>
    <w:basedOn w:val="Normal"/>
    <w:link w:val="FooterChar"/>
    <w:uiPriority w:val="99"/>
    <w:unhideWhenUsed/>
    <w:rsid w:val="00183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1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htc</cp:lastModifiedBy>
  <cp:revision>3</cp:revision>
  <dcterms:created xsi:type="dcterms:W3CDTF">2022-03-15T02:59:00Z</dcterms:created>
  <dcterms:modified xsi:type="dcterms:W3CDTF">2022-03-15T03:03:00Z</dcterms:modified>
</cp:coreProperties>
</file>